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Дело № 5-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-26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>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Style w:val="cat-Dategrp-12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r>
        <w:rPr>
          <w:rFonts w:ascii="Times New Roman" w:eastAsia="Times New Roman" w:hAnsi="Times New Roman" w:cs="Times New Roman"/>
          <w:sz w:val="28"/>
          <w:szCs w:val="28"/>
        </w:rPr>
        <w:t>. мирового судьи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Бордунов М.Б.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расположенный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каб. 30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об административном правонарушении, предусмотренном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1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т. 15.33.2 КоАП РФ,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Рыбкина Владимира Александровича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38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6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41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42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PassportDatagrp-27rplc-12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40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39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Style w:val="cat-Dategrp-13rplc-1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Рыбкин В.А.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являясь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председател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42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телекоммуникационным каналам связи представил в Отделение фонда пенсионного и социального страхования Российской Федерации по ХМАО-Югре сведения о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застрахованн</w:t>
      </w:r>
      <w:r>
        <w:rPr>
          <w:rFonts w:ascii="Times New Roman" w:eastAsia="Times New Roman" w:hAnsi="Times New Roman" w:cs="Times New Roman"/>
          <w:sz w:val="28"/>
          <w:szCs w:val="28"/>
        </w:rPr>
        <w:t>ом лице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форме сведений (ЕФС-1 ГПД), обращение </w:t>
      </w:r>
      <w:r>
        <w:rPr>
          <w:rStyle w:val="cat-PhoneNumbergrp-29rplc-18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Style w:val="cat-PhoneNumbergrp-30rplc-19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>, срок предоставления которого не позднее рабочего дня, следующего за днем заключения с застрахованным лицом соответствующего договора, а в случае прекращения договора, не позднее рабочего дня, следующего за днем его прекращения. Период, за который должен быть представлен отчет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отсутствует в представленных сведениях.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застрахованн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выявлено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tbl>
      <w:tblPr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067"/>
        <w:gridCol w:w="1742"/>
        <w:gridCol w:w="1818"/>
        <w:gridCol w:w="1505"/>
        <w:gridCol w:w="3411"/>
      </w:tblGrid>
      <w:tr>
        <w:tblPrEx>
          <w:tblInd w:w="116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№ п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п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СНИЛС</w:t>
            </w:r>
          </w:p>
        </w:tc>
        <w:tc>
          <w:tcPr>
            <w:tcW w:w="21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Код КМ ДГПХ</w:t>
            </w:r>
          </w:p>
        </w:tc>
        <w:tc>
          <w:tcPr>
            <w:tcW w:w="14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Дата начала/</w:t>
            </w:r>
          </w:p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окончания договора ГПХ</w:t>
            </w:r>
          </w:p>
        </w:tc>
        <w:tc>
          <w:tcPr>
            <w:tcW w:w="3195" w:type="dxa"/>
            <w:tcBorders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Дата и время совершения правонарушения</w:t>
            </w:r>
          </w:p>
        </w:tc>
      </w:tr>
      <w:tr>
        <w:tblPrEx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50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-</w:t>
            </w:r>
            <w:r>
              <w:rPr>
                <w:rStyle w:val="cat-PhoneNumbergrp-31rplc-20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телефон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 xml:space="preserve"> ГПХ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Style w:val="cat-Dategrp-14rplc-21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дата</w:t>
            </w:r>
            <w:r>
              <w:rPr>
                <w:rStyle w:val="cat-PhoneNumbergrp-32rplc-22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Style w:val="cat-Dategrp-15rplc-23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дата</w:t>
            </w:r>
            <w:r>
              <w:rPr>
                <w:rStyle w:val="cat-PhoneNumbergrp-33rplc-24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телефон</w:t>
            </w:r>
            <w:r>
              <w:rPr>
                <w:rStyle w:val="cat-Timegrp-28rplc-25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время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.</w:t>
            </w:r>
          </w:p>
        </w:tc>
      </w:tr>
    </w:tbl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Рыбкин В.А.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Рыбкин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должностного лица </w:t>
      </w:r>
      <w:r>
        <w:rPr>
          <w:rFonts w:ascii="Times New Roman" w:eastAsia="Times New Roman" w:hAnsi="Times New Roman" w:cs="Times New Roman"/>
          <w:sz w:val="28"/>
          <w:szCs w:val="28"/>
        </w:rPr>
        <w:t>Рыбкина В.А.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 суду представлены следующие доказательства: протокол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96</w:t>
      </w:r>
      <w:r>
        <w:rPr>
          <w:rFonts w:ascii="Times New Roman" w:eastAsia="Times New Roman" w:hAnsi="Times New Roman" w:cs="Times New Roman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Style w:val="cat-Dategrp-16rplc-2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eastAsia="Times New Roman" w:hAnsi="Times New Roman" w:cs="Times New Roman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выявлении правонарушения в сфере законодательства РФ об индивидуальном (персонифицированном) учете в системе обязательного пенсионного страхования с приложением; сведения о застрахованных лицах; выписка из ЕГРЮЛ; уведомление о составлении протокола об административном правонарушении; список почтовых отправлений.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Изложенные доказательства получены с соблюдением требований КоАП РФ, допустимы и достоверны, оценены судом по правилам ст. 26.11 КоАП РФ и в своей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совокупности подтверждают вину </w:t>
      </w:r>
      <w:r>
        <w:rPr>
          <w:rFonts w:ascii="Times New Roman" w:eastAsia="Times New Roman" w:hAnsi="Times New Roman" w:cs="Times New Roman"/>
          <w:sz w:val="28"/>
          <w:szCs w:val="28"/>
        </w:rPr>
        <w:t>Рыбкина В.А.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министративного правонарушения.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>
      <w:pPr>
        <w:spacing w:before="0" w:after="0"/>
        <w:ind w:firstLine="99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п. 6 ст. 11 Федерального Закона от </w:t>
      </w:r>
      <w:r>
        <w:rPr>
          <w:rStyle w:val="cat-Dategrp-17rplc-3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27-ФЗ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"Об индивидуальном (персонифицированном) учете в системах обязательного пенсионного страхования и обязательного социального страхования", сведения, указанные в </w:t>
      </w:r>
      <w:hyperlink r:id="rId4" w:anchor="/document/10106192/entry/112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5 пункта 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представляются не позднее рабочего дня, следующего за днем заключения с </w:t>
      </w:r>
      <w:hyperlink r:id="rId4" w:anchor="/document/10106192/entry/102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застрахованным лицом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соответствующего договора, а в случае прекращения договора не позднее рабочего дня, следующего за днем его прекращения.</w:t>
      </w:r>
    </w:p>
    <w:p>
      <w:pPr>
        <w:spacing w:before="0" w:after="0"/>
        <w:ind w:firstLine="99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пп. 5 п.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11 Федерального Закона от </w:t>
      </w:r>
      <w:r>
        <w:rPr>
          <w:rStyle w:val="cat-Dategrp-17rplc-3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27-ФЗ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"Об индивидуальном (персонифицированном) учете в системах обязательного пенсионного страхования и обязательного социального страхования", страхователь представляет о каждом работающем у него лице (включая лиц, заключивших договоры гражданско-правового характера, предметом которых является выполнение работ (оказание услуг),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 следующие </w:t>
      </w:r>
      <w:hyperlink r:id="rId4" w:anchor="/document/405976449/entry/100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сведения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 документы: дату заключения, дату прекращения и иные реквизиты договора гражданско-правового характера о выполнении работ (об оказании услуг), договора авторского заказа, договора об отчуждении исключительного права на произведения науки, литературы, искусства, издательского лицензионного договора, лицензионного договора о предоставлении права использования произведения науки, литературы, искусства, в том числе договора о передаче полномочий по управлению правами, заключенного с организацией по управлению правами на коллективной основе, на вознаграждение по которым в соответствии с </w:t>
      </w:r>
      <w:hyperlink r:id="rId4" w:anchor="/document/10900200/entry/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 налогах и сборах начисляются </w:t>
      </w:r>
      <w:hyperlink r:id="rId4" w:anchor="/document/10106192/entry/10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страховые взносы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и периоды выполнения работ (оказания услуг) по таким договорам.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Рыбкина В.А.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1 </w:t>
      </w:r>
      <w:r>
        <w:rPr>
          <w:rFonts w:ascii="Times New Roman" w:eastAsia="Times New Roman" w:hAnsi="Times New Roman" w:cs="Times New Roman"/>
          <w:sz w:val="28"/>
          <w:szCs w:val="28"/>
        </w:rPr>
        <w:t>ст.15.33.2 Кодекса РФ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епредставление в установленный </w:t>
      </w:r>
      <w:hyperlink r:id="rId4" w:anchor="/document/10106192/entry/8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  <w:u w:val="single" w:color="0000EE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 </w:t>
      </w:r>
      <w:hyperlink r:id="rId4" w:anchor="/document/12125267/entry/1533202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  <w:u w:val="single" w:color="0000EE"/>
          </w:rPr>
          <w:t>частью 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ст.ст.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Оснований для признания совершенного административного правонарушения малозначительным и, соответственно, освобождения от административной ответственности с применением положений ст. 2.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 не имеется, поскольку не установлено исключительных обстоятельств, свидетельствующих о наличии предусмотренных указанной нормой признаков малозначительности административного правонарушения, принимая при этом во внимание значимость охраняемых отношений и конкретные обстоятельства совершения административного правонарушения.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Принимая во внимание, что положениями КоАП РФ установлена административная ответственность за сам факт нарушения срока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содеянное </w:t>
      </w:r>
      <w:r>
        <w:rPr>
          <w:rFonts w:ascii="Times New Roman" w:eastAsia="Times New Roman" w:hAnsi="Times New Roman" w:cs="Times New Roman"/>
          <w:sz w:val="28"/>
          <w:szCs w:val="28"/>
        </w:rPr>
        <w:t>Рыбкин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может расцениваться как малозначительное деяние, так как оно полностью соответствует объективной стороне административного правонарушения.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ч. 2 ст. 4.1 КоАП РФ при назначении административного наказания, судом учтены характер совершенного административного правонарушения, личность виновного, его отношение к содеянному обстоятельства смягчающие и отягчающие административную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вышеизложенного, и руководствуясь ст.ст. 29.9-29.10 Кодекса Российской Федерации об административных правонарушениях, мировой судья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Рыбкина Владимира Александровича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15.33.2 КоАП РФ и назначить наказание в виде административного штрафа в размере </w:t>
      </w:r>
      <w:r>
        <w:rPr>
          <w:rStyle w:val="cat-Sumgrp-25rplc-36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Банк получателя РКЦ </w:t>
      </w:r>
      <w:r>
        <w:rPr>
          <w:rStyle w:val="cat-Addressgrp-5rplc-3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5rplc-3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Получатель: УФК по </w:t>
      </w:r>
      <w:r>
        <w:rPr>
          <w:rStyle w:val="cat-Addressgrp-7rplc-39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Style w:val="cat-Addressgrp-8rplc-4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(ОСФР по </w:t>
      </w:r>
      <w:r>
        <w:rPr>
          <w:rStyle w:val="cat-Addressgrp-6rplc-41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л/с 04874Ф87010)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номер счета банка получателя (номер банковского счета, входящего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состав единого казначейского счета Кор. Счет) № 40102810245370000007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ИНН </w:t>
      </w:r>
      <w:r>
        <w:rPr>
          <w:rStyle w:val="cat-PhoneNumbergrp-34rplc-42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КПП </w:t>
      </w:r>
      <w:r>
        <w:rPr>
          <w:rStyle w:val="cat-PhoneNumbergrp-35rplc-43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БИК ТОФК 007162163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ОКТМО </w:t>
      </w:r>
      <w:r>
        <w:rPr>
          <w:rStyle w:val="cat-PhoneNumbergrp-36rplc-44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Style w:val="cat-Addressgrp-0rplc-4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>
        <w:rPr>
          <w:rStyle w:val="cat-PhoneNumbergrp-37rplc-46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Style w:val="cat-Addressgrp-9rplc-4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счет получателя платежа (номер казначейского счета Р/счет) 031006430000000018700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КБК 797</w:t>
      </w:r>
      <w:r>
        <w:rPr>
          <w:rFonts w:ascii="Times New Roman" w:eastAsia="Times New Roman" w:hAnsi="Times New Roman" w:cs="Times New Roman"/>
          <w:sz w:val="28"/>
          <w:szCs w:val="28"/>
        </w:rPr>
        <w:t>02700000000044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36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уплата штрафа по административному правонарушению, предусмотренному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1 </w:t>
      </w:r>
      <w:r>
        <w:rPr>
          <w:rFonts w:ascii="Times New Roman" w:eastAsia="Times New Roman" w:hAnsi="Times New Roman" w:cs="Times New Roman"/>
          <w:sz w:val="28"/>
          <w:szCs w:val="28"/>
        </w:rPr>
        <w:t>ст. 15.33.2 КоАП.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квитанции предоставляется в каб.10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дома 9 по </w:t>
      </w:r>
      <w:r>
        <w:rPr>
          <w:rStyle w:val="cat-Addressgrp-11rplc-4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10rplc-49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Неуплата штрафа в течение 60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дней с момента вступления постановления в законную силу, влечет административную ответственность, предусмотренную ч. 1 ст. 20.25 Кодекса РФ об административных правонарушениях, в виде административного штрафа в двукратном размере неуплаченного административного штрафа либо административного ареста на срок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Копия верна: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И.о</w:t>
      </w:r>
      <w:r>
        <w:rPr>
          <w:rFonts w:ascii="Times New Roman" w:eastAsia="Times New Roman" w:hAnsi="Times New Roman" w:cs="Times New Roman"/>
          <w:sz w:val="18"/>
          <w:szCs w:val="18"/>
        </w:rPr>
        <w:t>. м</w:t>
      </w:r>
      <w:r>
        <w:rPr>
          <w:rFonts w:ascii="Times New Roman" w:eastAsia="Times New Roman" w:hAnsi="Times New Roman" w:cs="Times New Roman"/>
          <w:sz w:val="18"/>
          <w:szCs w:val="18"/>
        </w:rPr>
        <w:t>ирово</w:t>
      </w:r>
      <w:r>
        <w:rPr>
          <w:rFonts w:ascii="Times New Roman" w:eastAsia="Times New Roman" w:hAnsi="Times New Roman" w:cs="Times New Roman"/>
          <w:sz w:val="18"/>
          <w:szCs w:val="18"/>
        </w:rPr>
        <w:t>го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ХМАО-Югры ______________________ </w:t>
      </w:r>
      <w:r>
        <w:rPr>
          <w:rFonts w:ascii="Times New Roman" w:eastAsia="Times New Roman" w:hAnsi="Times New Roman" w:cs="Times New Roman"/>
          <w:sz w:val="18"/>
          <w:szCs w:val="18"/>
        </w:rPr>
        <w:t>М.Б. Бордунов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8rplc-52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</w:t>
      </w:r>
      <w:r>
        <w:rPr>
          <w:rFonts w:ascii="Times New Roman" w:eastAsia="Times New Roman" w:hAnsi="Times New Roman" w:cs="Times New Roman"/>
          <w:sz w:val="18"/>
          <w:szCs w:val="18"/>
        </w:rPr>
        <w:t>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12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Т.И. </w:t>
      </w:r>
      <w:r>
        <w:rPr>
          <w:rFonts w:ascii="Times New Roman" w:eastAsia="Times New Roman" w:hAnsi="Times New Roman" w:cs="Times New Roman"/>
          <w:sz w:val="18"/>
          <w:szCs w:val="18"/>
        </w:rPr>
        <w:t>Слесарева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Addressgrp-0rplc-0">
    <w:name w:val="cat-Address grp-0 rplc-0"/>
    <w:basedOn w:val="DefaultParagraphFont"/>
  </w:style>
  <w:style w:type="character" w:customStyle="1" w:styleId="cat-Dategrp-12rplc-1">
    <w:name w:val="cat-Date grp-12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38rplc-6">
    <w:name w:val="cat-ExternalSystemDefined grp-38 rplc-6"/>
    <w:basedOn w:val="DefaultParagraphFont"/>
  </w:style>
  <w:style w:type="character" w:customStyle="1" w:styleId="cat-PassportDatagrp-26rplc-7">
    <w:name w:val="cat-PassportData grp-26 rplc-7"/>
    <w:basedOn w:val="DefaultParagraphFont"/>
  </w:style>
  <w:style w:type="character" w:customStyle="1" w:styleId="cat-UserDefinedgrp-41rplc-8">
    <w:name w:val="cat-UserDefined grp-41 rplc-8"/>
    <w:basedOn w:val="DefaultParagraphFont"/>
  </w:style>
  <w:style w:type="character" w:customStyle="1" w:styleId="cat-UserDefinedgrp-42rplc-11">
    <w:name w:val="cat-UserDefined grp-42 rplc-11"/>
    <w:basedOn w:val="DefaultParagraphFont"/>
  </w:style>
  <w:style w:type="character" w:customStyle="1" w:styleId="cat-PassportDatagrp-27rplc-12">
    <w:name w:val="cat-PassportData grp-27 rplc-12"/>
    <w:basedOn w:val="DefaultParagraphFont"/>
  </w:style>
  <w:style w:type="character" w:customStyle="1" w:styleId="cat-ExternalSystemDefinedgrp-40rplc-13">
    <w:name w:val="cat-ExternalSystemDefined grp-40 rplc-13"/>
    <w:basedOn w:val="DefaultParagraphFont"/>
  </w:style>
  <w:style w:type="character" w:customStyle="1" w:styleId="cat-ExternalSystemDefinedgrp-39rplc-14">
    <w:name w:val="cat-ExternalSystemDefined grp-39 rplc-14"/>
    <w:basedOn w:val="DefaultParagraphFont"/>
  </w:style>
  <w:style w:type="character" w:customStyle="1" w:styleId="cat-Dategrp-13rplc-15">
    <w:name w:val="cat-Date grp-13 rplc-15"/>
    <w:basedOn w:val="DefaultParagraphFont"/>
  </w:style>
  <w:style w:type="character" w:customStyle="1" w:styleId="cat-UserDefinedgrp-42rplc-17">
    <w:name w:val="cat-UserDefined grp-42 rplc-17"/>
    <w:basedOn w:val="DefaultParagraphFont"/>
  </w:style>
  <w:style w:type="character" w:customStyle="1" w:styleId="cat-PhoneNumbergrp-29rplc-18">
    <w:name w:val="cat-PhoneNumber grp-29 rplc-18"/>
    <w:basedOn w:val="DefaultParagraphFont"/>
  </w:style>
  <w:style w:type="character" w:customStyle="1" w:styleId="cat-PhoneNumbergrp-30rplc-19">
    <w:name w:val="cat-PhoneNumber grp-30 rplc-19"/>
    <w:basedOn w:val="DefaultParagraphFont"/>
  </w:style>
  <w:style w:type="character" w:customStyle="1" w:styleId="cat-PhoneNumbergrp-31rplc-20">
    <w:name w:val="cat-PhoneNumber grp-31 rplc-20"/>
    <w:basedOn w:val="DefaultParagraphFont"/>
  </w:style>
  <w:style w:type="character" w:customStyle="1" w:styleId="cat-Dategrp-14rplc-21">
    <w:name w:val="cat-Date grp-14 rplc-21"/>
    <w:basedOn w:val="DefaultParagraphFont"/>
  </w:style>
  <w:style w:type="character" w:customStyle="1" w:styleId="cat-PhoneNumbergrp-32rplc-22">
    <w:name w:val="cat-PhoneNumber grp-32 rplc-22"/>
    <w:basedOn w:val="DefaultParagraphFont"/>
  </w:style>
  <w:style w:type="character" w:customStyle="1" w:styleId="cat-Dategrp-15rplc-23">
    <w:name w:val="cat-Date grp-15 rplc-23"/>
    <w:basedOn w:val="DefaultParagraphFont"/>
  </w:style>
  <w:style w:type="character" w:customStyle="1" w:styleId="cat-PhoneNumbergrp-33rplc-24">
    <w:name w:val="cat-PhoneNumber grp-33 rplc-24"/>
    <w:basedOn w:val="DefaultParagraphFont"/>
  </w:style>
  <w:style w:type="character" w:customStyle="1" w:styleId="cat-Timegrp-28rplc-25">
    <w:name w:val="cat-Time grp-28 rplc-25"/>
    <w:basedOn w:val="DefaultParagraphFont"/>
  </w:style>
  <w:style w:type="character" w:customStyle="1" w:styleId="cat-Dategrp-16rplc-29">
    <w:name w:val="cat-Date grp-16 rplc-29"/>
    <w:basedOn w:val="DefaultParagraphFont"/>
  </w:style>
  <w:style w:type="character" w:customStyle="1" w:styleId="cat-Dategrp-17rplc-31">
    <w:name w:val="cat-Date grp-17 rplc-31"/>
    <w:basedOn w:val="DefaultParagraphFont"/>
  </w:style>
  <w:style w:type="character" w:customStyle="1" w:styleId="cat-Dategrp-17rplc-32">
    <w:name w:val="cat-Date grp-17 rplc-32"/>
    <w:basedOn w:val="DefaultParagraphFont"/>
  </w:style>
  <w:style w:type="character" w:customStyle="1" w:styleId="cat-Sumgrp-25rplc-36">
    <w:name w:val="cat-Sum grp-25 rplc-36"/>
    <w:basedOn w:val="DefaultParagraphFont"/>
  </w:style>
  <w:style w:type="character" w:customStyle="1" w:styleId="cat-Addressgrp-5rplc-37">
    <w:name w:val="cat-Address grp-5 rplc-37"/>
    <w:basedOn w:val="DefaultParagraphFont"/>
  </w:style>
  <w:style w:type="character" w:customStyle="1" w:styleId="cat-Addressgrp-5rplc-38">
    <w:name w:val="cat-Address grp-5 rplc-38"/>
    <w:basedOn w:val="DefaultParagraphFont"/>
  </w:style>
  <w:style w:type="character" w:customStyle="1" w:styleId="cat-Addressgrp-7rplc-39">
    <w:name w:val="cat-Address grp-7 rplc-39"/>
    <w:basedOn w:val="DefaultParagraphFont"/>
  </w:style>
  <w:style w:type="character" w:customStyle="1" w:styleId="cat-Addressgrp-8rplc-40">
    <w:name w:val="cat-Address grp-8 rplc-40"/>
    <w:basedOn w:val="DefaultParagraphFont"/>
  </w:style>
  <w:style w:type="character" w:customStyle="1" w:styleId="cat-Addressgrp-6rplc-41">
    <w:name w:val="cat-Address grp-6 rplc-41"/>
    <w:basedOn w:val="DefaultParagraphFont"/>
  </w:style>
  <w:style w:type="character" w:customStyle="1" w:styleId="cat-PhoneNumbergrp-34rplc-42">
    <w:name w:val="cat-PhoneNumber grp-34 rplc-42"/>
    <w:basedOn w:val="DefaultParagraphFont"/>
  </w:style>
  <w:style w:type="character" w:customStyle="1" w:styleId="cat-PhoneNumbergrp-35rplc-43">
    <w:name w:val="cat-PhoneNumber grp-35 rplc-43"/>
    <w:basedOn w:val="DefaultParagraphFont"/>
  </w:style>
  <w:style w:type="character" w:customStyle="1" w:styleId="cat-PhoneNumbergrp-36rplc-44">
    <w:name w:val="cat-PhoneNumber grp-36 rplc-44"/>
    <w:basedOn w:val="DefaultParagraphFont"/>
  </w:style>
  <w:style w:type="character" w:customStyle="1" w:styleId="cat-Addressgrp-0rplc-45">
    <w:name w:val="cat-Address grp-0 rplc-45"/>
    <w:basedOn w:val="DefaultParagraphFont"/>
  </w:style>
  <w:style w:type="character" w:customStyle="1" w:styleId="cat-PhoneNumbergrp-37rplc-46">
    <w:name w:val="cat-PhoneNumber grp-37 rplc-46"/>
    <w:basedOn w:val="DefaultParagraphFont"/>
  </w:style>
  <w:style w:type="character" w:customStyle="1" w:styleId="cat-Addressgrp-9rplc-47">
    <w:name w:val="cat-Address grp-9 rplc-47"/>
    <w:basedOn w:val="DefaultParagraphFont"/>
  </w:style>
  <w:style w:type="character" w:customStyle="1" w:styleId="cat-Addressgrp-11rplc-48">
    <w:name w:val="cat-Address grp-11 rplc-48"/>
    <w:basedOn w:val="DefaultParagraphFont"/>
  </w:style>
  <w:style w:type="character" w:customStyle="1" w:styleId="cat-Addressgrp-10rplc-49">
    <w:name w:val="cat-Address grp-10 rplc-49"/>
    <w:basedOn w:val="DefaultParagraphFont"/>
  </w:style>
  <w:style w:type="character" w:customStyle="1" w:styleId="cat-Dategrp-18rplc-52">
    <w:name w:val="cat-Date grp-18 rplc-5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